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реализации в Ростовской области комплекса мер, направленных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социальную поддержку граждан, участвующих (участвовавших)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специальной военной операции, и членов их семей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Style_2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960"/>
        <w:gridCol w:w="5262"/>
      </w:tblGrid>
      <w:tr>
        <w:trPr>
          <w:tblHeader w:val="true"/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Нормативный правовой акт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выплата в размере 150 тыс. рублей гражданам, призванным на военную службу по частичной мобилизации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28.09.2022 № 802 «Об утверждении Положения о порядке и условиях предоставления гражданам, призванным на военную службу по частичной мобилизации в Вооруженные Силы Российск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ой Федерации, единовременной выплаты»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выплата в размере 150 тыс. рублей гражданам, добровольно заключившим контракт о прохождении военной службы в отдельных именных подразделениях, формируемых на территории Ростовской области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10.05.2023 № 338 «Об утверждении Положения о порядке и условиях предоставления гражданам, добровольно заключившим с Министерством обороны Российской Федерации контракт о прохождении военной службы в отдельных именных подразделениях, формируемых на территории Ростовской области, единовременной выплаты»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денежная выплата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размере 100 тыс. рублей гражданам, заключившим начиная с 24 февраля 2022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 и зарегистрированным по месту жительства или месту пребывания на территории Ростовской области на дату заключения контракта, при условии их участия в СВО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26.06.2023 № 460 «Об утверждении Положения о порядке и условиях предоставления единовременной выплаты отдельным категориям граждан в связи с их участием в специальной военной операции»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денежная выплата в размере 200 тыс. рублей гражданам Российской Федерации: заключившим начиная с 1 сентября 2023 г. по 31 декабря 2023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 и зарегистрированным по месту жительства или месту пребывания на территории Ростовской области на дату заключения контракта;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заключившим начиная с 1 января 2024 г. на территории Ростовской области контракт о прохождении военной службы в Вооруженных Силах Российской Федерации или контракт о пребывании в добровольческом формировании сроком на один год и более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25.09.2023 № 675 «Об утверждении Положения о порядке и условиях предоставления гражданам, добровольно заключившим контракт о прохождении военной службы в Вооруженных Силах Российской Федерации или контракт о пребывании в добровольческом формировании, единовременной выплаты»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денежная выплата в размере 500 тыс. рублей гражданам Российской Федерации, направленным пунктами отбора на военную службу по контракту, расположенными на территории Ростовской области, и военными комиссариатами муниципальных образований в Ростовской области в воинские части для заключения контракта о прохождении военной службы в Вооруженных Силах Российской Федерации, и гражданам Российской Федерации, добровольно поступившим в добровольческие формирования, и заключившим начиная со дня официального опубликования настоящего постановления на территории Ростовской области контракт о прохождении военной службы в Вооруженных Силах Российской Федерации или контракт о пребывании в добровольческом формировании (о добровольном содействии в выполнении задач, возложенных на Вооруженные Силы Российской Федерации) соответственно сроком на один год и более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15.02.2024 № 70 «О некоторых мерах поддержки граждан, добровольно заключивших контракт о прохождении военной службы в Вооруженных Силах Российской Федерации или контракт о пребывании в добровольческом формировании»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денежная выплата в размере 50 тыс. рублей гражданам, заключившим контракт о прохождении военной службы в войсках национальной гвардии Российской Федерации сроком на один год и более, зачисленным в списки личного состава 902 полка оперативного назначения 116 отдельной бригады особого назначения войск национальной гвардии Российской Федерации, формируемого на территории Ростовской области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Постановление Правительства Ростовской области от 25.09.2023 № 676 «Об утверждении Положения </w:t>
              <w:br/>
              <w:t>о порядке и условиях предоставления гражданам, заключившим контракт о прохождении военной службы в войсках национальной гвардии Российской Федерации, единовременной выплаты»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денежная выплата   в размере 100 тыс. рублей: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гражданам, призванным в 2022 – 2023 годах на военную службу по мобилизации в Вооруженные Силы Российской Федерации и заключившим контракт о прохождении военной службы в Вооруженных Силах Российской Федерации в воинских частях 8 общевойсковой армии;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гражданам, призванным в 2022 – 2023 годах на военную службу по мобилизации в Вооруженные Силы Российской Федерации военным комиссариатом Ростовской области, военными комиссариатами муниципальных образований в Ростовской области, заключившим контракт о прохождении военной службы в Вооруженных Силах Российской Федерации, зарегистрированным по месту жительства или месту пребывания на территории Ростовской  области на дату заключения указанного контракта, зачисленным в списки личного состава воинской части и назначенным на воинскую должность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Распоряжение Правительства Ростовской области от 25.10.2023 № 1041-дсп «Об исполнении поручения Президента Российской Федерации от 14.02.2023  № Пр-309 в отношении граждан Российской Федерации, призванных в 2022 – 2023 годах на военную службу по мобилизации в Вооруженные Силы Российской Федерации и заключившим контракт о прохождении военной службы в Вооруженных Силах Российской Федерации в воинских частях 8 общевойсковой армии»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Распоряжение Правительства Ростовской области от 25.10.2023 № 1042-дсп «Об исполнении поручения Президента Российской Федерации от 14.02.2023  № Пр-309 в отношении отдельных категорий граждан, призванных в 2022 – 2023 годах на военную службу по мобилизации в Вооруженные Силы Российской Федерации, заключившим контракт о прохождении военной службы в Вооруженных Силах Российской Федерации»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денежная выплата в размере 600 тыс. рублей в случае тяжелого увечья (ранения, травмы, контузии) в ходе специальной военной операции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14.09.2022 № 755 «Об утверждении Положения о порядке и условиях предоставления военнослужащим, лицам, проходящим (проходившим) службу в войсках национальной гвардии Российской Федерации и имеющим специальное звание полиции, военнослужащим пограничных органов федеральной службы безопасности, лицам, поступившим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принимающим (принимавшим)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757, дополнительной меры социальной поддержки в виде единовременной денежной выплаты»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Единовременная материальная помощь членам семей погибших (умерших) военнослужащих в размере 2 млн рублей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26.09.2022 № 801 «Об утверждении Положения о порядке и условиях предоставления за счет средств резервного фонда Правительства Ростовской области единовременной материальной помощи членам семей погибших (умерших) военнослужащих, лиц, проходивших службу в войсках национальной гвардии Российской Федерации, принимавших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 757, а также членам семей погибших (умерших) граждан, поступивших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>
        <w:trPr>
          <w:trHeight w:val="524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Назначение отдельных мер социальной поддержки семьям мобилизованных граждан без учета доходов и сумм единовременной материальной помощи, выплачиваемых мобилизованным гражданам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10.01.2023 № 11 «Об особенностях предоставления некоторых мер социальной поддержки граждан, предоставляемых за счет средств областного бюджета»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Освобождение лиц, призванных на военную службу по мобилизации, а также членов их семей от уплаты земельного налога по срокам уплаты: 1 декабря 2022 г. и 1 декабря 2023 г.</w:t>
            </w:r>
          </w:p>
        </w:tc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10.10.2022 № 845 «О мерах поддержки участников специальной военной операции и членов их семей»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10.10.2022 № 845 «О мерах поддержки участников специальной военной операции и членов их семей»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46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10.10.2022 № 845 «О мерах поддержки семей лиц, призванных на военную службу по мобилизации»</w:t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Оказание содействия в поиске подходящей работы, временное трудоустройство несовершеннолетних в свободное от учебы время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Организация профессиональной ориентации, профессиональное обучение и дополнительное профессиональное образование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693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Бесплатное одноразовое горячее питание, в том числе путем выплаты компенсации, студентам, обучающимся 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Бесплатное горячее питание, обучающимся в государственных общеобразовательных организациях Ростовской области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Бесплатное посещение занятий детьми, являющимися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Зачисление детей, являющихся членами семьи участника специальной военной операции, в группы продленного дня и круглосуточного пребывания в муниципальных дошкольных образовательных организациях в первоочередном (преимущественном) порядке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общеобразовательных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Обеспечение участникам специальной военной операции и членам их семей право на бесплатное посещение подведомственных государственных музеев и на льготное посещение платных мероприятий, проводимых подведомственными государственными организациями культуры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Оказание исполнительными органам Ростовской области и подведомственными им учреждениями членам семей участников специальной военной операции бесплатной юридической помощи в виде правового консультирования в устной и письменной формах по вопросам, относящимся к их компетенции, в порядке, установленном законодательством Российской Федерации для рассмотрения обращений граждан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</w:t>
            </w:r>
          </w:p>
        </w:tc>
        <w:tc>
          <w:tcPr>
            <w:tcW w:w="5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ind w:left="0" w:right="0" w:hanging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Компенсация расходов на газификацию домовладения (квартиры) гражданам, призванным на военную службу по мобилизации; заключившим на территории Ростовской области в связи с участием в специальной военной операции контракт о прохождении военной службы в Вооруженных Силах Российской Федерации или контракт о пребывании в добровольческом формировании, а также членам их семей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Областной закон Ростовской области от 27.02.2023 № 830-ЗС «О внесении изменения в статью 2 Областного закона «О предоставлении меры социальной поддержки по оплате расходов на газификацию домовладения (квартиры) отдельным категориям граждан»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Возможность внесения изменений в программу социальной адаптации по реализации социального контракта, в случае призыва заявителя на военную службу по мобилизации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04.07.2013 г. № 429 (в редакции от 05.12.2022 № 1044) «Об оказании адресной социальной помощи на основании социального контракта»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Бесплатные путевки либо компенсация родителям за самостоятельно приобретенные путевки в организации отдыха детей и их оздоровления для детей вне зависимости от доходов семьи и имущественной обеспеченности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20.01.2012 № 24 (в редакции от 31.07.2023 № 543) «О Порядке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детей»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Освобождение от уплаты транспортного налога: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- граждан, призванных на военную службу по мобилизации, лиц,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формировании, имеющих на праве собственности легковые автомобили;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 родителей и не вступивших в повторный брак супругов инвалидов и ветеранов боевых действий, погибших при исполнении своих служебных обязанностей или умерших вследствие полученных при их исполнении ранения, контузии, увечья или заболевания, имеющих на праве собственности легковые автомобили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Областной закон от 10.05.2012 № 843-ЗС (в редакции от 23.11.2022 и от 30.06.2023) «О региональных налогах и некоторых вопросах налогообложения в Ростовской области»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Освобождение от уплаты земельного налога граждан, призванных на военную службу по мобилизации, а также их супруга, несовершеннолетних детей, родителей</w:t>
            </w:r>
          </w:p>
        </w:tc>
        <w:tc>
          <w:tcPr>
            <w:tcW w:w="5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Решения представительных органов 420-ти муниципальных образований области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Отсрочка уплаты арендной платы по договорам аренды государственного имущества Ростовской области (в том числе земельных участков) и земельных участков, государственная собственность на которые не разграничена, а также расторжения договоров аренды государственного имущества Ростовской области, за исключением земельных участков, государственная собственность на которые не разграничена, без применения штрафных санкций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19.12.2022 № 1108 «О некоторых вопросах, связанных с исполнением договоров аренды государственного имущества Ростовской области и земельных участков, государственная собственность на которые не разграничена»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Бесплатное предоставление в собственность земельных участков, находящихся в государственной или муниципальной собственности, в целях индивидуального жилищного или гаражного строительства, ведения личного подсобного хозяйства, садоводства или огородничества для собственных нужд.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Право имеют: Герои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лица, проходящие (проходившие) службу в войсках национальной гвардии Российской Федерации; члены их семей, в случае гибели (смерти) указанных лиц вследствие увечья или заболевания, полученных ими в ходе участия в специальной военной операции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Областной закон от 22 июля 2003 года № 19-ЗС «О регулировании земельных отношений в Ростовской области» (в редакции от 30.06.2023 № 893-ЗС)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Предоставление бесплатной юридической помощи в рамках государственной системы бесплатной юридической помощи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Областной закон от 24.12.2012 № 1017-ЗС (в редакции от 26.12.2022) «О бесплатной юридической помощи в Ростовской области»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Социальное сопровождение семей участников специальной военной операции в части оказания юридической и социально-психологической помощи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Муниципальные нормативные правовые акты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на территории Ростовской области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Распоряжение Губернатора Ростовской области от 18.07.2023 № 165 «О внесении изменений в распоряжение Губернатора Ростовской области от 23.12.2022 № 363»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Право получения бюджетной субсидии с целью улучшения жилищных условий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Ростовской области от 07.11.2011 № 95 «О порядке предоставления государственной поддержки гражданам в приобретении (строительстве) жилья с использованием средств жилищного кредита» (в редакции постановления от 17.07.2023 № 524)</w:t>
            </w:r>
          </w:p>
        </w:tc>
      </w:tr>
      <w:tr>
        <w:trPr>
          <w:trHeight w:val="416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457" w:right="0" w:hanging="426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Компенсация расходов на оплату жилищно-коммунальных услуг членам семей лиц, принимающих участие в специальной военной операции, предоставляется в размере 50 процентов: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1) платы за наем и (или) платы за содержание жилого помещения;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2) взноса на капитальный ремонт общего имущества в многоквартирном доме, но не более 50 процентов указанного взноса;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3) 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4) платы за коммунальные услуги, рассчитанной исходя из объема потребляемых коммунальных услуг;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5) оплаты стоимости топлива, приобретаемого в пределах норм, установленных для продажи населению, - при проживании в домах, не имеющих центрального отопления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Областной закон Ростовской области от 28 ноября 2023 года № 45-ЗС «О социальной поддержке членов семей лиц, принимающих участие в специальной военной операции»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304" w:right="851" w:gutter="0" w:header="709" w:top="1134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1.2pt;height:13.45pt;mso-wrap-distance-left:0pt;mso-wrap-distance-right:0pt;mso-wrap-distance-top:0pt;mso-wrap-distance-bottom:0pt;margin-top:0.05pt;mso-position-vertical-relative:text;margin-left:238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15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7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9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6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3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4"/>
    <w:qFormat/>
    <w:rPr>
      <w:rFonts w:ascii="XO Thames" w:hAnsi="XO Thames"/>
      <w:sz w:val="28"/>
    </w:rPr>
  </w:style>
  <w:style w:type="character" w:styleId="Contents4">
    <w:name w:val="Contents 4"/>
    <w:link w:val="Style_5"/>
    <w:qFormat/>
    <w:rPr>
      <w:rFonts w:ascii="XO Thames" w:hAnsi="XO Thames"/>
      <w:sz w:val="28"/>
    </w:rPr>
  </w:style>
  <w:style w:type="character" w:styleId="Contents6">
    <w:name w:val="Contents 6"/>
    <w:link w:val="Style_6"/>
    <w:qFormat/>
    <w:rPr>
      <w:rFonts w:ascii="XO Thames" w:hAnsi="XO Thames"/>
      <w:sz w:val="28"/>
    </w:rPr>
  </w:style>
  <w:style w:type="character" w:styleId="Contents7">
    <w:name w:val="Contents 7"/>
    <w:link w:val="Style_7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8"/>
    <w:qFormat/>
    <w:rPr>
      <w:rFonts w:ascii="XO Thames" w:hAnsi="XO Thames"/>
      <w:sz w:val="22"/>
    </w:rPr>
  </w:style>
  <w:style w:type="character" w:styleId="Heading3">
    <w:name w:val="Heading 3"/>
    <w:link w:val="Style_9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Style_10"/>
    <w:qFormat/>
    <w:rPr/>
  </w:style>
  <w:style w:type="character" w:styleId="Contents3">
    <w:name w:val="Contents 3"/>
    <w:link w:val="Style_11"/>
    <w:qFormat/>
    <w:rPr>
      <w:rFonts w:ascii="XO Thames" w:hAnsi="XO Thames"/>
      <w:sz w:val="28"/>
    </w:rPr>
  </w:style>
  <w:style w:type="character" w:styleId="Footer">
    <w:name w:val="Footer"/>
    <w:link w:val="Style_12"/>
    <w:qFormat/>
    <w:rPr/>
  </w:style>
  <w:style w:type="character" w:styleId="Heading5">
    <w:name w:val="Heading 5"/>
    <w:link w:val="Style_13"/>
    <w:qFormat/>
    <w:rPr>
      <w:rFonts w:ascii="XO Thames" w:hAnsi="XO Thames"/>
      <w:b/>
      <w:sz w:val="22"/>
    </w:rPr>
  </w:style>
  <w:style w:type="character" w:styleId="ListParagraph">
    <w:name w:val="List Paragraph"/>
    <w:link w:val="Style_14"/>
    <w:qFormat/>
    <w:rPr/>
  </w:style>
  <w:style w:type="character" w:styleId="Heading1">
    <w:name w:val="Heading 1"/>
    <w:link w:val="Style_15"/>
    <w:qFormat/>
    <w:rPr>
      <w:rFonts w:ascii="XO Thames" w:hAnsi="XO Thames"/>
      <w:b/>
      <w:sz w:val="32"/>
    </w:rPr>
  </w:style>
  <w:style w:type="character" w:styleId="BalloonText">
    <w:name w:val="Balloon Text"/>
    <w:link w:val="Style_16"/>
    <w:qFormat/>
    <w:rPr>
      <w:rFonts w:ascii="Tahoma" w:hAnsi="Tahoma"/>
      <w:sz w:val="16"/>
    </w:rPr>
  </w:style>
  <w:style w:type="character" w:styleId="Style9">
    <w:name w:val="Интернет-ссылка"/>
    <w:link w:val="Style_17"/>
    <w:rPr>
      <w:color w:val="0000FF"/>
      <w:u w:val="single"/>
    </w:rPr>
  </w:style>
  <w:style w:type="character" w:styleId="Footnote">
    <w:name w:val="Footnote"/>
    <w:link w:val="Style_18"/>
    <w:qFormat/>
    <w:rPr>
      <w:rFonts w:ascii="XO Thames" w:hAnsi="XO Thames"/>
      <w:sz w:val="22"/>
    </w:rPr>
  </w:style>
  <w:style w:type="character" w:styleId="Contents1">
    <w:name w:val="Contents 1"/>
    <w:link w:val="Style_19"/>
    <w:qFormat/>
    <w:rPr>
      <w:rFonts w:ascii="XO Thames" w:hAnsi="XO Thames"/>
      <w:b/>
      <w:sz w:val="28"/>
    </w:rPr>
  </w:style>
  <w:style w:type="character" w:styleId="HeaderandFooter">
    <w:name w:val="Header and Footer"/>
    <w:link w:val="Style_20"/>
    <w:qFormat/>
    <w:rPr>
      <w:rFonts w:ascii="XO Thames" w:hAnsi="XO Thames"/>
      <w:sz w:val="20"/>
    </w:rPr>
  </w:style>
  <w:style w:type="character" w:styleId="Contents9">
    <w:name w:val="Contents 9"/>
    <w:link w:val="Style_21"/>
    <w:qFormat/>
    <w:rPr>
      <w:rFonts w:ascii="XO Thames" w:hAnsi="XO Thames"/>
      <w:sz w:val="28"/>
    </w:rPr>
  </w:style>
  <w:style w:type="character" w:styleId="Contents8">
    <w:name w:val="Contents 8"/>
    <w:link w:val="Style_22"/>
    <w:qFormat/>
    <w:rPr>
      <w:rFonts w:ascii="XO Thames" w:hAnsi="XO Thames"/>
      <w:sz w:val="28"/>
    </w:rPr>
  </w:style>
  <w:style w:type="character" w:styleId="Contents5">
    <w:name w:val="Contents 5"/>
    <w:link w:val="Style_23"/>
    <w:qFormat/>
    <w:rPr>
      <w:rFonts w:ascii="XO Thames" w:hAnsi="XO Thames"/>
      <w:sz w:val="28"/>
    </w:rPr>
  </w:style>
  <w:style w:type="character" w:styleId="Subtitle">
    <w:name w:val="Subtitle"/>
    <w:link w:val="Style_24"/>
    <w:qFormat/>
    <w:rPr>
      <w:rFonts w:ascii="XO Thames" w:hAnsi="XO Thames"/>
      <w:i/>
      <w:sz w:val="24"/>
    </w:rPr>
  </w:style>
  <w:style w:type="character" w:styleId="Title">
    <w:name w:val="Title"/>
    <w:link w:val="Style_25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6"/>
    <w:qFormat/>
    <w:rPr>
      <w:rFonts w:ascii="XO Thames" w:hAnsi="XO Thames"/>
      <w:b/>
      <w:sz w:val="24"/>
    </w:rPr>
  </w:style>
  <w:style w:type="character" w:styleId="Heading2">
    <w:name w:val="Heading 2"/>
    <w:link w:val="Style_27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21">
    <w:name w:val="TOC 2"/>
    <w:next w:val="Normal"/>
    <w:link w:val="Style_4_ch"/>
    <w:uiPriority w:val="39"/>
    <w:pPr>
      <w:widowControl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5_ch"/>
    <w:uiPriority w:val="39"/>
    <w:pPr>
      <w:widowControl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6_ch"/>
    <w:uiPriority w:val="39"/>
    <w:pPr>
      <w:widowControl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7_ch"/>
    <w:uiPriority w:val="39"/>
    <w:pPr>
      <w:widowControl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link w:val="Style_20_ch"/>
    <w:qFormat/>
    <w:pPr>
      <w:widowControl/>
      <w:bidi w:val="0"/>
      <w:spacing w:lineRule="auto" w:line="240" w:before="0" w:after="20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Header"/>
    <w:basedOn w:val="Normal"/>
    <w:link w:val="Style_1_ch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Endnote1">
    <w:name w:val="Endnote"/>
    <w:link w:val="Style_8_ch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10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11_ch"/>
    <w:uiPriority w:val="39"/>
    <w:pPr>
      <w:widowControl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Footer"/>
    <w:basedOn w:val="Normal"/>
    <w:link w:val="Style_12_ch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1">
    <w:name w:val="List Paragraph"/>
    <w:basedOn w:val="Normal"/>
    <w:link w:val="Style_14_ch"/>
    <w:qFormat/>
    <w:pPr>
      <w:spacing w:before="0" w:after="200"/>
      <w:ind w:left="720" w:right="0" w:hanging="0"/>
      <w:contextualSpacing/>
    </w:pPr>
    <w:rPr/>
  </w:style>
  <w:style w:type="paragraph" w:styleId="BalloonText1">
    <w:name w:val="Balloon Text"/>
    <w:basedOn w:val="Normal"/>
    <w:link w:val="Style_16_ch"/>
    <w:qFormat/>
    <w:pPr>
      <w:spacing w:lineRule="auto" w:line="240" w:before="0" w:after="0"/>
    </w:pPr>
    <w:rPr>
      <w:rFonts w:ascii="Tahoma" w:hAnsi="Tahoma"/>
      <w:sz w:val="16"/>
    </w:rPr>
  </w:style>
  <w:style w:type="paragraph" w:styleId="Internetlink">
    <w:name w:val="Hyperlink"/>
    <w:link w:val="Style_17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18_ch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9_ch"/>
    <w:uiPriority w:val="39"/>
    <w:pPr>
      <w:widowControl/>
      <w:bidi w:val="0"/>
      <w:spacing w:lineRule="auto" w:line="276" w:before="0" w:after="20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21_ch"/>
    <w:uiPriority w:val="39"/>
    <w:pPr>
      <w:widowControl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2_ch"/>
    <w:uiPriority w:val="39"/>
    <w:pPr>
      <w:widowControl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23_ch"/>
    <w:uiPriority w:val="39"/>
    <w:pPr>
      <w:widowControl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Subtitle"/>
    <w:next w:val="Normal"/>
    <w:link w:val="Style_24_ch"/>
    <w:uiPriority w:val="11"/>
    <w:qFormat/>
    <w:pPr>
      <w:widowControl/>
      <w:bidi w:val="0"/>
      <w:spacing w:lineRule="auto" w:line="276" w:before="0" w:after="200"/>
      <w:ind w:left="0" w:right="0" w:hanging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Title"/>
    <w:next w:val="Normal"/>
    <w:link w:val="Style_25_ch"/>
    <w:uiPriority w:val="10"/>
    <w:qFormat/>
    <w:pPr>
      <w:widowControl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0">
    <w:name w:val="Содержимое врезки"/>
    <w:basedOn w:val="Normal"/>
    <w:qFormat/>
    <w:pPr/>
    <w:rPr/>
  </w:style>
  <w:style w:type="table" w:styleId="Style_28">
    <w:name w:val="Сетка таблицы2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9">
    <w:name w:val="Table Grid"/>
    <w:basedOn w:val="Style_2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30">
    <w:name w:val="Сетка таблицы1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9</Pages>
  <Words>2352</Words>
  <Characters>16669</Characters>
  <CharactersWithSpaces>18911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2024-02-22T11:44:32Z</dcterms:modified>
  <cp:revision>0</cp:revision>
  <dc:subject/>
  <dc:title/>
</cp:coreProperties>
</file>